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20.png" ContentType="image/png"/>
  <Override PartName="/word/media/rId116.png" ContentType="image/png"/>
  <Override PartName="/word/media/rId30.png" ContentType="image/png"/>
  <Override PartName="/word/media/rId104.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10-12-2024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5" w:name="project-overview"/>
    <w:p>
      <w:pPr>
        <w:pStyle w:val="Heading1"/>
      </w:pPr>
      <w:r>
        <w:t xml:space="preserve">Project Overview</w:t>
      </w:r>
    </w:p>
    <w:bookmarkStart w:id="28"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rehabilitation and barrier prevention.</w:t>
      </w:r>
    </w:p>
    <w:p>
      <w:pPr>
        <w:pStyle w:val="BodyText"/>
      </w:pPr>
      <w:r>
        <w:t xml:space="preserve">WCRPs are long-term, actionable plans that blend local stakeholder and rightsholder knowledge with innovative GIS analyses to gain a shared understanding of where restorataion efforts will have the greatest benefit for fish. The planning process is inspired by the</w:t>
      </w:r>
      <w:r>
        <w:t xml:space="preserve"> </w:t>
      </w:r>
      <w:hyperlink r:id="rId25">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6">
        <w:r>
          <w:rPr>
            <w:rStyle w:val="Hyperlink"/>
          </w:rPr>
          <w:t xml:space="preserve">Elk Valley Cumulative Effects Management Framework</w:t>
        </w:r>
      </w:hyperlink>
      <w:r>
        <w:t xml:space="preserve">, the Elk Valley Fish and Fish Habitat Committee, and the</w:t>
      </w:r>
      <w:r>
        <w:t xml:space="preserve"> </w:t>
      </w:r>
      <w:hyperlink r:id="rId27">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rehabilitation efforts will take place. Additionally, the team selected focal fish species, assessed their current connectivity status in the watershed, defined concrete goals for gains in connectivity, and developed an intermediate list of barriers for rehabilitation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rehabilitation for fish in the Elk River watershed. For more information on how WCRPs are developed, see</w:t>
      </w:r>
      <w:r>
        <w:t xml:space="preserve"> </w:t>
      </w:r>
      <w:r>
        <w:t xml:space="preserve">Mazany-Wright, Noseworthy, et al. (2021)</w:t>
      </w:r>
      <w:r>
        <w:t xml:space="preserve">.</w:t>
      </w:r>
    </w:p>
    <w:bookmarkEnd w:id="28"/>
    <w:bookmarkStart w:id="29"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9"/>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rehabilitated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3" w:name="fig-geoscope"/>
          <w:p>
            <w:pPr>
              <w:jc w:val="center"/>
            </w:pPr>
            <w:r>
              <w:drawing>
                <wp:inline>
                  <wp:extent cx="4879361" cy="4741048"/>
                  <wp:effectExtent b="0" l="0" r="0" t="0"/>
                  <wp:docPr descr="" title="" id="31" name="Picture"/>
                  <a:graphic>
                    <a:graphicData uri="http://schemas.openxmlformats.org/drawingml/2006/picture">
                      <pic:pic>
                        <pic:nvPicPr>
                          <pic:cNvPr descr="content/images/geo-scope-elkr.png" id="32" name="Picture"/>
                          <pic:cNvPicPr>
                            <a:picLocks noChangeArrowheads="1" noChangeAspect="1"/>
                          </pic:cNvPicPr>
                        </pic:nvPicPr>
                        <pic:blipFill>
                          <a:blip r:embed="rId30"/>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3"/>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4">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bookmarkStart w:id="35"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5"/>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rehabilitate.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naturally accessible</w:t>
      </w:r>
      <w:r>
        <w:t xml:space="preserve">”</w:t>
      </w:r>
      <w:r>
        <w:t xml:space="preserve"> </w:t>
      </w:r>
      <w:r>
        <w:t xml:space="preserve">waterbodies,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Naturally accessible waterbodies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naturally accessible waterbodies. All stream segments not identified as naturally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017673" cy="4956201"/>
                  <wp:effectExtent b="0" l="0" r="0" t="0"/>
                  <wp:docPr descr="" title="" id="37" name="Picture"/>
                  <a:graphic>
                    <a:graphicData uri="http://schemas.openxmlformats.org/drawingml/2006/picture">
                      <pic:pic>
                        <pic:nvPicPr>
                          <pic:cNvPr descr="content/images/accessible-streams-elkr.png" id="38" name="Picture"/>
                          <pic:cNvPicPr>
                            <a:picLocks noChangeArrowheads="1" noChangeAspect="1"/>
                          </pic:cNvPicPr>
                        </pic:nvPicPr>
                        <pic:blipFill>
                          <a:blip r:embed="rId36"/>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9"/>
        </w:tc>
      </w:tr>
    </w:tbl>
    <w:bookmarkEnd w:id="40"/>
    <w:bookmarkStart w:id="44"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Elk River watershed, the planning team selected Westslope Cutthroat Trout as the focal species. The selection of this focal species was driven primarily by the focal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3"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1"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1"/>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2"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2"/>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3"/>
    <w:bookmarkEnd w:id="44"/>
    <w:bookmarkStart w:id="54"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6" w:name="tbl-barriertype"/>
    <w:bookmarkStart w:id="45" w:name="T_0e4a2"/>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focal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focal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5"/>
    <w:bookmarkEnd w:id="46"/>
    <w:bookmarkStart w:id="47" w:name="dams"/>
    <w:p>
      <w:pPr>
        <w:pStyle w:val="Heading3"/>
      </w:pPr>
      <w:r>
        <w:t xml:space="preserve">Dams</w:t>
      </w:r>
    </w:p>
    <w:p>
      <w:pPr>
        <w:pStyle w:val="FirstParagraph"/>
      </w:pPr>
      <w:r>
        <w:t xml:space="preserve">There are 9 mapped dams on potential habitat in the watershed, blocking 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rehabilitate to benefit a genetically pure Westslope Cutthroat Trout population in the Grave-Harmer system, and Teck Resources Ltd. is currently undertaking an assessment process to evaluate potential rehabilitation options (W. Franklin, Teck Resources Ltd., pers. comm.). There are no known fishways in the watershed, and the identified dams likely block passage for Westslope Cutthroat Trout. Due to the significant resources required to rehabilitate dams and the Low extent of dams in the watershed, a final pressure rating of Low was assigned.</w:t>
      </w:r>
    </w:p>
    <w:bookmarkEnd w:id="47"/>
    <w:bookmarkStart w:id="48" w:name="road-stream-crossings"/>
    <w:p>
      <w:pPr>
        <w:pStyle w:val="Heading3"/>
      </w:pPr>
      <w:r>
        <w:t xml:space="preserve">Road-stream Crossings</w:t>
      </w:r>
    </w:p>
    <w:p>
      <w:pPr>
        <w:pStyle w:val="FirstParagraph"/>
      </w:pPr>
      <w:r>
        <w:t xml:space="preserve">Road-stream crossings are the most abundant barrier type in the watershed, with 375 assessed and modelled crossings located on potential habitat. Demographic road crossings (highways, municipal, and paved roads) block 56.38 km of habitat (~3% of the total blocked habitat), with 64% of assessed crossings having been identified as barriers to fish passage. Resource roads potentially block 338.83 km of habitat (~19%), with 49%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rehabilitate road-stream crossings, though it was noted that this differs considerably between resource roads and highway crossings.</w:t>
      </w:r>
    </w:p>
    <w:bookmarkEnd w:id="48"/>
    <w:bookmarkStart w:id="49"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rehabilitate these barriers, the planning team decided on an overall pressure rating of Medium for this barrier type.</w:t>
      </w:r>
    </w:p>
    <w:bookmarkEnd w:id="49"/>
    <w:bookmarkStart w:id="50"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rehabilitation costs associated with these barriers would be quite low. Overall, the planning team felt that the pressure rating for trail-stream crossings was likely Low.</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51"/>
    <w:bookmarkStart w:id="52"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2"/>
    <w:bookmarkStart w:id="53"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rehabilitate when they occur. Overall, the planning team felt that a Low rating adequately captured the effects of landslides, but felt that it was an important barrier type to identify in this WCRP.</w:t>
      </w:r>
    </w:p>
    <w:bookmarkEnd w:id="53"/>
    <w:bookmarkEnd w:id="54"/>
    <w:bookmarkEnd w:id="55"/>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focal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7" w:name="tbl-connectivity"/>
    <w:bookmarkStart w:id="56" w:name="T_c5025"/>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8"/>
    <w:bookmarkStart w:id="61" w:name="goals"/>
    <w:p>
      <w:pPr>
        <w:pStyle w:val="Heading2"/>
      </w:pPr>
      <w:r>
        <w:t xml:space="preserve">Goals</w:t>
      </w:r>
    </w:p>
    <w:bookmarkStart w:id="60" w:name="tbl-goals"/>
    <w:bookmarkStart w:id="59" w:name="T_bf601"/>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9"/>
    <w:bookmarkEnd w:id="60"/>
    <w:bookmarkEnd w:id="61"/>
    <w:bookmarkEnd w:id="62"/>
    <w:bookmarkStart w:id="73" w:name="structure-prioritization"/>
    <w:p>
      <w:pPr>
        <w:pStyle w:val="Heading1"/>
      </w:pPr>
      <w:r>
        <w:t xml:space="preserve">Structure Prioritization</w:t>
      </w:r>
    </w:p>
    <w:bookmarkStart w:id="72" w:name="Xf4d43345367eed9bff8b5048670e9c40e0059ca"/>
    <w:p>
      <w:pPr>
        <w:pStyle w:val="Heading2"/>
      </w:pPr>
      <w:r>
        <w:t xml:space="preserve">Elk River Watershed Barrier Structure Summary</w:t>
      </w:r>
    </w:p>
    <w:p>
      <w:pPr>
        <w:pStyle w:val="FirstParagraph"/>
      </w:pPr>
      <w:r>
        <w:t xml:space="preserve">The primary conservation outcome of the WCRP is the rehabilitation of barriers to connectivity in the Elk River watershed. To achieve the 2041 connectivity goals in this plan (Goals 2 and 4), it is necessary to prioritize and identify a suite of barriers for both the Upstream of Elko Dam and Downstream of Elko Dam units that, if rehabilitated, will provide access to a minimum of 142 km of habitat and 3 km of habitat, respectively (</w:t>
      </w:r>
      <w:hyperlink w:anchor="tbl-connectivity">
        <w:r>
          <w:rPr>
            <w:rStyle w:val="Hyperlink"/>
          </w:rPr>
          <w:t xml:space="preserve">Table 4</w:t>
        </w:r>
      </w:hyperlink>
      <w:r>
        <w:t xml:space="preserve">).</w:t>
      </w:r>
    </w:p>
    <w:bookmarkStart w:id="64" w:name="tbl-connectivity"/>
    <w:bookmarkStart w:id="63" w:name="T_b452f"/>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3"/>
    <w:bookmarkEnd w:id="64"/>
    <w:p>
      <w:pPr>
        <w:pStyle w:val="BodyText"/>
      </w:pPr>
      <w:r>
        <w:t xml:space="preserve">The structure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rehabilitation decision is made.</w:t>
      </w:r>
      <w:r>
        <w:t xml:space="preserve"> </w:t>
      </w:r>
      <w:r>
        <w:t xml:space="preserve">Additionally, the habitat model identifies stream segmentsthat have the potential to support spawning or rearing habitat for focal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rehabilitate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rehabilitation. For more details on the barrier prioritization model, please see</w:t>
      </w:r>
      <w:r>
        <w:t xml:space="preserve"> </w:t>
      </w:r>
      <w:r>
        <w:t xml:space="preserve">Mazany-Wright, Norris, et al. (2021a)</w:t>
      </w:r>
      <w:r>
        <w:t xml:space="preserve">.</w:t>
      </w:r>
    </w:p>
    <w:bookmarkStart w:id="65"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bookmarkStart w:id="68"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8"/>
    <w:p>
      <w:pPr>
        <w:pStyle w:val="BodyText"/>
      </w:pPr>
      <w:r>
        <w:t xml:space="preserve">There are currently 21 barriers on the priority barrier list, which will be pursued for proactive rehabilitation to achieve the connectivity goals in this plan:</w:t>
      </w:r>
    </w:p>
    <w:bookmarkStart w:id="69"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08"/>
        <w:gridCol w:w="2477"/>
        <w:gridCol w:w="4250"/>
        <w:gridCol w:w="2612"/>
        <w:gridCol w:w="2648"/>
        <w:gridCol w:w="2147"/>
        <w:gridCol w:w="2807"/>
        <w:gridCol w:w="2098"/>
        <w:gridCol w:w="2282"/>
        <w:gridCol w:w="2868"/>
        <w:gridCol w:w="2086"/>
        <w:gridCol w:w="3651"/>
        <w:gridCol w:w="19653"/>
        <w:gridCol w:w="19108"/>
        <w:gridCol w:w="31226"/>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Busato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fish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Potential to do some habitat rehabilitation work on the stream in conjunction with culvert replacements.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https://www.newgraphenvironment.com/fish_passage_elk_2022_reporting/results.html#brule-creek---pscis-crossings-197533-and-197559</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rehabilitate stream channel at same time as culverts replaced.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https://www.newgraphenvironment.com/fish_passage_elk_2022_reporting/discussion-and-recommendations.html#brule-creek---pscis-crossings-197533-and-197559-1</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 revealed WCT presence upstream and downstream of crossing. Cold water = short growing season for fish. Could be important temperature refuge during hot weather.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 discussions with MOTI carried out. MOTI is amenable to replacing crossing but no solid timeline identified.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https://www.newgraphenvironment.com/fish_passage_elk_2022_reporting/results.html#weigert-creek---pscis-crossing-197534</w:t>
            </w:r>
          </w:p>
        </w:tc>
      </w:tr>
      <w:tr>
        <w:trPr>
          <w:trHeight w:val="615"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13635d39-ee0f-4d0c-bb9c-9649ac9a5c63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Elkview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 construction. Expected completion 2025.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https://www.teck.com/media/Harmer-Creek-Evaluation-of-Cause%20-Report-March-2023.pdf</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4606699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potential barrier. Barrier to be rehabilitated as part of Teck's Tributary Management Plan under Environmental Management Act.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to be rehabilitated as part of Teck's Tributary Management Plan under Environmental Management Act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4600367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going through Fisheries Act authorization due to sediment basin component of work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https://www.newgraphenvironment.com/fish_passage_elk_2020_reporting/appendix---197542---hartley-creek.html</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4605191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on busy haul road. High value WCT rearing stream with groundwater refugia.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studies by VAST this winter revealed groundwater- influenced temperature refugia and suitable habitat for WCT. EB dominant in lower reaches.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https://www.newgraphenvironment.com/fish_passage_elk_2020_reporting/appendix---50185---tributary-to-morrisey-creek.html#</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WCT stream with high-quality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http://a100.gov.bc.ca/pub/acat/public/advancedSearch.do?keywords=[PSCIS3520]&amp;searchKeyType=searchAll&amp;sortColumn=title</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 (Stove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Fundraise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WCT habitat cut off from Lizard Creek. Lizard complex including all tributaries identified as critical habitat by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Good overwintering potential for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Bull Trout also present in stream.  Winter investigations revealed strong groundwater influence upstream of crossing and at mouth of creek. 70 m dewatered section between culvert and mouth.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https://www.newgraphenvironment.com/fish_passage_elk_2021_reporting/appendix---197844---tributary-to-bighorn-creek.html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Excellent quality habitat supporting all life stages of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Barrier at low flows. Sedimentation and deflection issues identified due to culvert.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 complete, undergoing options evaluation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bl>
    <w:p>
      <w:pPr>
        <w:pStyle w:val="BodyText"/>
      </w:pPr>
      <w:r>
        <w:rPr>
          <w:bCs/>
          <w:b/>
        </w:rPr>
        <w:t xml:space="preserve">?(caption)</w:t>
      </w:r>
    </w:p>
    <w:bookmarkEnd w:id="69"/>
    <w:bookmarkStart w:id="70" w:name="tbl-data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868"/>
        <w:gridCol w:w="2587"/>
        <w:gridCol w:w="2660"/>
        <w:gridCol w:w="3455"/>
        <w:gridCol w:w="1756"/>
        <w:gridCol w:w="2147"/>
        <w:gridCol w:w="3284"/>
        <w:gridCol w:w="2282"/>
        <w:gridCol w:w="2098"/>
        <w:gridCol w:w="5375"/>
        <w:gridCol w:w="24550"/>
        <w:gridCol w:w="3119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 (TBC)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to washout, this was a bridge with footings and rip rap intruding into the wetted channel margin and creating a cascade that was likely impeding fish passage.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https://www.newgraphenvironment.com/fish_passage_elk_2021_reporting/appendix---61504---coal-creek.html</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Corbin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4606744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https://a100.gov.bc.ca/pub/acat/documents/r49504/East_Kootenay_Habitat_report_Final_w_MAPS_1447703733942_7701890483.pdf</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Was not blocking flows when assessed in 2021 but could become an impediment if it continues to collapse into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http://a100.gov.bc.ca/pub/pscismap/imageViewer.do?assessmentId=198800</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https://a100.gov.bc.ca/pub/pscismap/imageViewer.do?assessmentId=198801</w:t>
            </w:r>
          </w:p>
        </w:tc>
      </w:tr>
      <w:tr>
        <w:trPr>
          <w:trHeight w:val="617"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Detailed habitat investigation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Undersized culvert with signs of overtopping. Culvert not buried in road bed, leading to damage in several locations.  Debris jam with 0.75 m drip currently creating a temporary passage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bl>
    <w:p>
      <w:pPr>
        <w:pStyle w:val="BodyText"/>
      </w:pPr>
      <w:r>
        <w:rPr>
          <w:bCs/>
          <w:b/>
        </w:rPr>
        <w:t xml:space="preserve">?(caption)</w:t>
      </w:r>
    </w:p>
    <w:bookmarkEnd w:id="70"/>
    <w:bookmarkStart w:id="71" w:name="tbl-rehabilitat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832"/>
        <w:gridCol w:w="2612"/>
        <w:gridCol w:w="2587"/>
        <w:gridCol w:w="2013"/>
        <w:gridCol w:w="2221"/>
        <w:gridCol w:w="2282"/>
        <w:gridCol w:w="2465"/>
        <w:gridCol w:w="5240"/>
        <w:gridCol w:w="985"/>
        <w:gridCol w:w="12370"/>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4605728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Post-rehabilitation monitoring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Correct deficiencies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bl>
    <w:p>
      <w:pPr>
        <w:pStyle w:val="BodyText"/>
      </w:pPr>
      <w:r>
        <w:rPr>
          <w:bCs/>
          <w:b/>
        </w:rPr>
        <w:t xml:space="preserve">?(caption)</w:t>
      </w:r>
    </w:p>
    <w:bookmarkEnd w:id="71"/>
    <w:bookmarkEnd w:id="72"/>
    <w:bookmarkEnd w:id="73"/>
    <w:bookmarkStart w:id="80" w:name="work-planning"/>
    <w:p>
      <w:pPr>
        <w:pStyle w:val="Heading1"/>
      </w:pPr>
      <w:r>
        <w:t xml:space="preserve">Work Planning</w:t>
      </w:r>
    </w:p>
    <w:bookmarkStart w:id="74"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4"/>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5" w:name="tbl-S1"/>
    <w:p>
      <w:pPr>
        <w:pStyle w:val="BodyText"/>
      </w:pPr>
      <w:r>
        <w:rPr>
          <w:bCs/>
          <w:b/>
        </w:rPr>
        <w:t xml:space="preserve">?(caption)</w:t>
      </w:r>
    </w:p>
    <w:bookmarkEnd w:id="75"/>
    <w:bookmarkStart w:id="77" w:name="tbl-opplan"/>
    <w:bookmarkStart w:id="76" w:name="T_4f60f"/>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6"/>
    <w:bookmarkEnd w:id="77"/>
    <w:bookmarkEnd w:id="78"/>
    <w:bookmarkStart w:id="79" w:name="annual-work-plan"/>
    <w:p>
      <w:pPr>
        <w:pStyle w:val="Heading2"/>
      </w:pPr>
      <w:r>
        <w:t xml:space="preserve">Annual Work Plan</w:t>
      </w:r>
    </w:p>
    <w:bookmarkEnd w:id="79"/>
    <w:bookmarkEnd w:id="80"/>
    <w:bookmarkStart w:id="97" w:name="references"/>
    <w:p>
      <w:pPr>
        <w:pStyle w:val="Heading1"/>
      </w:pPr>
      <w:r>
        <w:t xml:space="preserve">References</w:t>
      </w:r>
    </w:p>
    <w:bookmarkStart w:id="96" w:name="refs"/>
    <w:bookmarkStart w:id="81" w:name="ref-Bennett"/>
    <w:p>
      <w:pPr>
        <w:pStyle w:val="Bibliography"/>
      </w:pPr>
      <w:r>
        <w:t xml:space="preserve">Bennett, S. n.d.</w:t>
      </w:r>
      <w:r>
        <w:t xml:space="preserve"> </w:t>
      </w:r>
      <w:r>
        <w:rPr>
          <w:iCs/>
          <w:i/>
        </w:rPr>
        <w:t xml:space="preserve">Westslope Cutthroat Trout (Oncorhynchus Clarki Lewisi). Accounts and Measures for Managing Identified Wildlife - Accounts v</w:t>
      </w:r>
      <w:r>
        <w:t xml:space="preserve">. https://www2.gov.bc.ca/assets/gov/environment/natural- resource-policy-legislation/accounts-measures-for-managing-identified- wildlife/fish_westslope_cutthroat_trout.pdf.</w:t>
      </w:r>
    </w:p>
    <w:bookmarkEnd w:id="81"/>
    <w:bookmarkStart w:id="82"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2"/>
    <w:bookmarkStart w:id="83"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3"/>
    <w:bookmarkStart w:id="84"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4"/>
    <w:bookmarkStart w:id="85"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5"/>
    <w:bookmarkStart w:id="86"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86"/>
    <w:bookmarkStart w:id="87" w:name="ref-Magee1996"/>
    <w:p>
      <w:pPr>
        <w:pStyle w:val="Bibliography"/>
      </w:pPr>
      <w:r>
        <w:t xml:space="preserve">Magee, J. P., and T. E. McMahon. 1996</w:t>
      </w:r>
      <w:r>
        <w:rPr>
          <w:iCs/>
          <w:i/>
        </w:rPr>
        <w:t xml:space="preserve">. Spatial Variation in Spawning Habitat of Cutthroat Trout in a Sediment-Rich Stream Basin. Transactions of the American Fisheries Society 125: 768-779</w:t>
      </w:r>
      <w:r>
        <w:t xml:space="preserve">.</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1"/>
    <w:bookmarkStart w:id="92" w:name="ref-Peterson2008"/>
    <w:p>
      <w:pPr>
        <w:pStyle w:val="Bibliography"/>
      </w:pPr>
      <w:r>
        <w:t xml:space="preserve">Peterson D. P., J. B. Dunham, B. E. Rieman, and M. K. Young. 1977.</w:t>
      </w:r>
      <w:r>
        <w:t xml:space="preserve"> </w:t>
      </w:r>
      <w:r>
        <w:rPr>
          <w:iCs/>
          <w:i/>
        </w:rPr>
        <w:t xml:space="preserve">Analysis of Trade-Offs Between Threats and Invasion by Nonnative Brook Trout (Salvelinus Frontalis) and Intentional Isolation for Native Westslope Cutthroat Trout (Oncorhynchus Clarkii Lewisi).</w:t>
      </w:r>
      <w:r>
        <w:t xml:space="preserve"> Canadian Journal of Fisheries; Aquatic Sciences 65: 557-573.</w:t>
      </w:r>
    </w:p>
    <w:bookmarkEnd w:id="92"/>
    <w:bookmarkStart w:id="93"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93"/>
    <w:bookmarkStart w:id="94"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94"/>
    <w:bookmarkStart w:id="95"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95"/>
    <w:bookmarkEnd w:id="96"/>
    <w:bookmarkEnd w:id="97"/>
    <w:bookmarkStart w:id="99" w:name="version-history"/>
    <w:p>
      <w:pPr>
        <w:pStyle w:val="Heading1"/>
      </w:pPr>
      <w:r>
        <w:t xml:space="preserve">Version History</w:t>
      </w:r>
    </w:p>
    <w:p>
      <w:pPr>
        <w:pStyle w:val="FirstParagraph"/>
      </w:pPr>
      <w:hyperlink r:id="rId98">
        <w:r>
          <w:rPr>
            <w:rStyle w:val="Hyperlink"/>
          </w:rPr>
          <w:t xml:space="preserve">v.1.0 – August 2024</w:t>
        </w:r>
      </w:hyperlink>
    </w:p>
    <w:bookmarkEnd w:id="99"/>
    <w:bookmarkStart w:id="103" w:name="project-partners"/>
    <w:p>
      <w:pPr>
        <w:pStyle w:val="Heading1"/>
      </w:pPr>
      <w:r>
        <w:t xml:space="preserve">Project Partners</w:t>
      </w:r>
    </w:p>
    <w:bookmarkStart w:id="101"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10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100"/>
    <w:bookmarkEnd w:id="101"/>
    <w:bookmarkStart w:id="102" w:name="key-actors"/>
    <w:p>
      <w:pPr>
        <w:pStyle w:val="Heading2"/>
      </w:pPr>
      <w:r>
        <w:t xml:space="preserve">Key Actors</w:t>
      </w:r>
    </w:p>
    <w:bookmarkEnd w:id="102"/>
    <w:bookmarkEnd w:id="103"/>
    <w:bookmarkStart w:id="131" w:name="supplementary-information"/>
    <w:p>
      <w:pPr>
        <w:pStyle w:val="Heading1"/>
      </w:pPr>
      <w:r>
        <w:t xml:space="preserve">Supplementary Information</w:t>
      </w:r>
    </w:p>
    <w:bookmarkStart w:id="108"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7" w:name="fig-sitan"/>
          <w:p>
            <w:pPr>
              <w:jc w:val="center"/>
            </w:pPr>
            <w:r>
              <w:drawing>
                <wp:inline>
                  <wp:extent cx="5334000" cy="3224508"/>
                  <wp:effectExtent b="0" l="0" r="0" t="0"/>
                  <wp:docPr descr="" title="" id="105" name="Picture"/>
                  <a:graphic>
                    <a:graphicData uri="http://schemas.openxmlformats.org/drawingml/2006/picture">
                      <pic:pic>
                        <pic:nvPicPr>
                          <pic:cNvPr descr="content/images/situation-analysis.png" id="106" name="Picture"/>
                          <pic:cNvPicPr>
                            <a:picLocks noChangeArrowheads="1" noChangeAspect="1"/>
                          </pic:cNvPicPr>
                        </pic:nvPicPr>
                        <pic:blipFill>
                          <a:blip r:embed="rId104"/>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107"/>
        </w:tc>
      </w:tr>
    </w:tbl>
    <w:bookmarkEnd w:id="108"/>
    <w:bookmarkStart w:id="10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rehabilitation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9"/>
    <w:bookmarkStart w:id="112" w:name="strategy-1-barrier-rehabilitation"/>
    <w:p>
      <w:pPr>
        <w:pStyle w:val="Heading2"/>
      </w:pPr>
      <w:r>
        <w:t xml:space="preserve">Strategy 1: Barrier Rehabilitation</w:t>
      </w:r>
    </w:p>
    <w:bookmarkStart w:id="111" w:name="tbl-S1"/>
    <w:bookmarkStart w:id="110" w:name="T_fffbb"/>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Rehabilitate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Rehabilitate major infrastructure crossings</w:t>
            </w:r>
          </w:p>
        </w:tc>
        <w:tc>
          <w:tcPr/>
          <w:p>
            <w:pPr>
              <w:pStyle w:val="Compact"/>
              <w:jc w:val="left"/>
            </w:pPr>
            <w:r>
              <w:t xml:space="preserve">In most cases, the planning team will engage with barrier owners, but the owners of the barrier would be responsible for the financial cost of rehabilitation. This includes building relationships with CP rail to open a two-way discussion on the scale, priority, and impact to their crossings on the watershed. Include the financial and ecological cost/benefits of rehabilitation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rehabilitated; however, temporary mitigation does not replace the need for barrier rehabilitation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rehabilitate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rehabilitated.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rehabilitate barriers (ownership dependent)</w:t>
            </w:r>
          </w:p>
        </w:tc>
        <w:tc>
          <w:tcPr/>
          <w:p>
            <w:pPr>
              <w:pStyle w:val="Compact"/>
              <w:jc w:val="left"/>
            </w:pPr>
            <w:r>
              <w:t xml:space="preserve">Where appropriate, collaborate within the planning team to raise conservation funds for rehabilitation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rehabilitation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rehabilitation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rehabilitation projects</w:t>
            </w:r>
          </w:p>
        </w:tc>
        <w:tc>
          <w:tcPr/>
          <w:p>
            <w:pPr>
              <w:pStyle w:val="Compact"/>
              <w:jc w:val="left"/>
            </w:pPr>
            <w:r>
              <w:t xml:space="preserve">Effectiveness monitoring study design (Lotic) for rehabilitation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10"/>
    <w:bookmarkEnd w:id="111"/>
    <w:bookmarkEnd w:id="112"/>
    <w:bookmarkStart w:id="115" w:name="strategy-2-barrier-prevention"/>
    <w:p>
      <w:pPr>
        <w:pStyle w:val="Heading2"/>
      </w:pPr>
      <w:r>
        <w:t xml:space="preserve">Strategy 2: Barrier Prevention</w:t>
      </w:r>
    </w:p>
    <w:bookmarkStart w:id="114" w:name="tbl-S2"/>
    <w:bookmarkStart w:id="113" w:name="T_849f7"/>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13"/>
    <w:bookmarkEnd w:id="114"/>
    <w:bookmarkEnd w:id="115"/>
    <w:bookmarkStart w:id="124"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9" w:name="fig-stra1"/>
          <w:p>
            <w:pPr>
              <w:jc w:val="center"/>
            </w:pPr>
            <w:r>
              <w:drawing>
                <wp:inline>
                  <wp:extent cx="5334000" cy="3457025"/>
                  <wp:effectExtent b="0" l="0" r="0" t="0"/>
                  <wp:docPr descr="" title="" id="117" name="Picture"/>
                  <a:graphic>
                    <a:graphicData uri="http://schemas.openxmlformats.org/drawingml/2006/picture">
                      <pic:pic>
                        <pic:nvPicPr>
                          <pic:cNvPr descr="content/images/flowchart-barrier-rem.png" id="118" name="Picture"/>
                          <pic:cNvPicPr>
                            <a:picLocks noChangeArrowheads="1" noChangeAspect="1"/>
                          </pic:cNvPicPr>
                        </pic:nvPicPr>
                        <pic:blipFill>
                          <a:blip r:embed="rId116"/>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Rehabilitation in the Elk River watershed.</w:t>
            </w:r>
          </w:p>
          <w:bookmarkEnd w:id="11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3" w:name="fig-stra2"/>
          <w:p>
            <w:pPr>
              <w:jc w:val="center"/>
            </w:pPr>
            <w:r>
              <w:drawing>
                <wp:inline>
                  <wp:extent cx="5334000" cy="2722617"/>
                  <wp:effectExtent b="0" l="0" r="0" t="0"/>
                  <wp:docPr descr="" title="" id="121" name="Picture"/>
                  <a:graphic>
                    <a:graphicData uri="http://schemas.openxmlformats.org/drawingml/2006/picture">
                      <pic:pic>
                        <pic:nvPicPr>
                          <pic:cNvPr descr="content/images/flowchart-barrier-prevention.png" id="122" name="Picture"/>
                          <pic:cNvPicPr>
                            <a:picLocks noChangeArrowheads="1" noChangeAspect="1"/>
                          </pic:cNvPicPr>
                        </pic:nvPicPr>
                        <pic:blipFill>
                          <a:blip r:embed="rId120"/>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23"/>
        </w:tc>
      </w:tr>
    </w:tbl>
    <w:bookmarkEnd w:id="124"/>
    <w:bookmarkStart w:id="127"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26" w:name="tbl-opplan"/>
    <w:bookmarkStart w:id="125" w:name="T_e8b5c"/>
    <w:p>
      <w:pPr>
        <w:pStyle w:val="TableCaption"/>
      </w:pPr>
      <w:r>
        <w:t xml:space="preserve">Table 8: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25"/>
    <w:bookmarkEnd w:id="126"/>
    <w:bookmarkEnd w:id="127"/>
    <w:bookmarkStart w:id="130" w:name="funding-sources"/>
    <w:p>
      <w:pPr>
        <w:pStyle w:val="Heading2"/>
      </w:pPr>
      <w:r>
        <w:t xml:space="preserve">Funding Sources</w:t>
      </w:r>
    </w:p>
    <w:bookmarkStart w:id="128"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224"/>
        <w:gridCol w:w="1457"/>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rehabilitation implementation (2021-2022, 2022-2023, 2023-2024)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rehabilitation (2019-2020, 2020-2021, 2021-2022, 2022-2023)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bl>
    <w:p>
      <w:pPr>
        <w:pStyle w:val="FirstParagraph"/>
      </w:pPr>
      <w:r>
        <w:rPr>
          <w:bCs/>
          <w:b/>
        </w:rPr>
        <w:t xml:space="preserve">?(caption)</w:t>
      </w:r>
    </w:p>
    <w:bookmarkEnd w:id="128"/>
    <w:bookmarkStart w:id="129"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restoration of fish passage using provincial strategic approach. Primarily for rehabilitation of Ministry-owned/orphaned barriers on forest service roads.</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29"/>
    <w:bookmarkEnd w:id="130"/>
    <w:bookmarkEnd w:id="131"/>
    <w:bookmarkStart w:id="139" w:name="data-download-and-methods"/>
    <w:p>
      <w:pPr>
        <w:pStyle w:val="Heading1"/>
      </w:pPr>
      <w:r>
        <w:t xml:space="preserve">Data Download and Methods</w:t>
      </w:r>
    </w:p>
    <w:bookmarkStart w:id="132" w:name="data-download"/>
    <w:p>
      <w:pPr>
        <w:pStyle w:val="Heading2"/>
      </w:pPr>
      <w:r>
        <w:t xml:space="preserve">Data Download</w:t>
      </w:r>
    </w:p>
    <w:p>
      <w:pPr>
        <w:pStyle w:val="FirstParagraph"/>
      </w:pPr>
      <w:r>
        <w:t xml:space="preserve">Coming soon</w:t>
      </w:r>
    </w:p>
    <w:bookmarkEnd w:id="132"/>
    <w:bookmarkStart w:id="135"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33">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w:t>
      </w:r>
      <w:r>
        <w:t xml:space="preserve"> </w:t>
      </w:r>
      <w:r>
        <w:t xml:space="preserve">Díaz and Habit (2021)</w:t>
      </w:r>
      <w:r>
        <w:t xml:space="preserve"> </w:t>
      </w:r>
      <w:r>
        <w:t xml:space="preserve">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rehabilitaton that will reconnect tributaries to the existing longest fragments see</w:t>
      </w:r>
      <w:r>
        <w:t xml:space="preserve"> </w:t>
      </w:r>
      <w:hyperlink w:anchor="structure-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focal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3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978"/>
        <w:gridCol w:w="5889"/>
        <w:gridCol w:w="4324"/>
        <w:gridCol w:w="5168"/>
        <w:gridCol w:w="4079"/>
        <w:gridCol w:w="4996"/>
        <w:gridCol w:w="4385"/>
        <w:gridCol w:w="350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Westslope Cutthroat Trout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[1][2]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0.05-76 [1][3][4]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 [2]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0.02-30 [3][4]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34"/>
    <w:p>
      <w:pPr>
        <w:pStyle w:val="BodyText"/>
      </w:pPr>
      <w:r>
        <w:t xml:space="preserve">References: [1]</w:t>
      </w:r>
      <w:r>
        <w:t xml:space="preserve"> </w:t>
      </w:r>
      <w:r>
        <w:t xml:space="preserve">Magee and McMahon (1996)</w:t>
      </w:r>
      <w:r>
        <w:t xml:space="preserve">. [2]</w:t>
      </w:r>
      <w:r>
        <w:t xml:space="preserve"> </w:t>
      </w:r>
      <w:r>
        <w:t xml:space="preserve">Peterson D. P. and Young. (1977)</w:t>
      </w:r>
      <w:r>
        <w:t xml:space="preserve">. [3]</w:t>
      </w:r>
      <w:r>
        <w:t xml:space="preserve"> </w:t>
      </w:r>
      <w:r>
        <w:t xml:space="preserve">Bennett (n.d.)</w:t>
      </w:r>
      <w:r>
        <w:t xml:space="preserve">. [4]</w:t>
      </w:r>
      <w:r>
        <w:t xml:space="preserve"> </w:t>
      </w:r>
      <w:r>
        <w:t xml:space="preserve">COSEWIC (2016)</w:t>
      </w:r>
      <w:r>
        <w:t xml:space="preserve">.</w:t>
      </w:r>
    </w:p>
    <w:bookmarkEnd w:id="135"/>
    <w:bookmarkStart w:id="138" w:name="other-tables"/>
    <w:p>
      <w:pPr>
        <w:pStyle w:val="Heading2"/>
      </w:pPr>
      <w:r>
        <w:t xml:space="preserve">Other tables</w:t>
      </w:r>
    </w:p>
    <w:bookmarkStart w:id="136" w:name="tbl-nonac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3260"/>
        <w:gridCol w:w="1585"/>
        <w:gridCol w:w="2648"/>
        <w:gridCol w:w="2135"/>
        <w:gridCol w:w="10181"/>
        <w:gridCol w:w="1292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falls (2.3 m high) approx 60 m upstream. Steep sections &gt;15% with multiple drops &gt; 1 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https://www.newgraphenvironment.com/fish_passage_elk_2021_reporting/appendix---197796---tributary-to-lodgepole-creek.html</w:t>
            </w:r>
          </w:p>
        </w:tc>
      </w:tr>
    </w:tbl>
    <w:p>
      <w:pPr>
        <w:pStyle w:val="FirstParagraph"/>
      </w:pPr>
      <w:r>
        <w:rPr>
          <w:bCs/>
          <w:b/>
        </w:rPr>
        <w:t xml:space="preserve">?(caption)</w:t>
      </w:r>
    </w:p>
    <w:bookmarkEnd w:id="136"/>
    <w:bookmarkStart w:id="137" w:name="tbl-exclud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72"/>
        <w:gridCol w:w="2477"/>
        <w:gridCol w:w="3260"/>
        <w:gridCol w:w="3320"/>
        <w:gridCol w:w="2660"/>
        <w:gridCol w:w="4140"/>
        <w:gridCol w:w="2441"/>
        <w:gridCol w:w="15757"/>
        <w:gridCol w:w="9716"/>
        <w:gridCol w:w="29857"/>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https://a100.gov.bc.ca/pub/pscismap/imageViewer.do?assessmentId=112516</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4605697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confirmed with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channel at time of assessment, transitions into grass flats 60 m downstream of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https://a100.gov.bc.ca/pub/pscismap/imageViewer.do?assessmentId=198427</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https://a100.gov.bc.ca/pub/pscismap/imageViewer.do?assessmentId=198802</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Forest Service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with poorly defined channel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http://a100.gov.bc.ca/pub/pscismap/imageViewer.do?assessmentId=198803</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R08380-10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Snowshoe Lake drains to basin upstream with no visible channel between lake and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https://a100.gov.bc.ca/pub/pscismap/imageViewer.do?assessmentId=198805</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has been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https://a100.gov.bc.ca/pub/pscismap/imageViewer.do?assessmentId=198809</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https://a100.gov.bc.ca/pub/pscismap/imageViewer.do?assessmentId=198810</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https://a100.gov.bc.ca/pub/pscismap/imageViewer.do?assessmentId=198812</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Winter habitat assessments revealed low habitat values. Dewatered in summer and winter. No sutiable habitat to support most life stages.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https://www.newgraphenvironment.com/fish_passage_elk_2021_reporting/appendix---197793---bean-creek.html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 line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http://a100.gov.bc.ca/pub/pscismap/imageViewer.do?assessmentId=198814</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http://a100.gov.bc.ca/pub/pscismap/imageViewer.do?assessmentId=198815</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http://a100.gov.bc.ca/pub/pscismap/imageViewer.do?assessmentId=198817</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may have been recently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https://a100.gov.bc.ca/pub/pscismap/imageViewer.do?assessmentId=198823</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https://a100.gov.bc.ca/pub/pscismap/imageViewer.do?assessmentId=198825</w:t>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http://a100.gov.bc.ca/pub/pscismap/imageViewer.do?assessmentId=198836</w:t>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https://a100.gov.bc.ca/pub/pscismap/imageViewer.do?assessmentId=198840</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http://a100.gov.bc.ca/pub/pscismap/imageViewer.do?assessmentId=198838</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https://a100.gov.bc.ca/pub/pscismap/imageViewer.do?assessmentId=198841</w:t>
            </w:r>
          </w:p>
        </w:tc>
      </w:tr>
      <w:tr>
        <w:trPr>
          <w:trHeight w:val="617"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approx 60 m downstream of modeled location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https://a100.gov.bc.ca/pub/pscismap/imageViewer.do?assessmentId=198844</w:t>
            </w:r>
          </w:p>
        </w:tc>
      </w:tr>
      <w:tr>
        <w:trPr>
          <w:trHeight w:val="617"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https://a100.gov.bc.ca/pub/pscismap/imageViewer.do?assessmentId=198846</w:t>
            </w:r>
          </w:p>
        </w:tc>
      </w:tr>
      <w:tr>
        <w:trPr>
          <w:trHeight w:val="617"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https://a100.gov.bc.ca/pub/pscismap/imageViewer.do?assessmentId=198857</w:t>
            </w:r>
          </w:p>
        </w:tc>
      </w:tr>
      <w:tr>
        <w:trPr>
          <w:trHeight w:val="617"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not detectable in 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https://a100.gov.bc.ca/pub/pscismap/imageViewer.do?assessmentId=198858</w:t>
            </w:r>
          </w:p>
        </w:tc>
      </w:tr>
      <w:tr>
        <w:trPr>
          <w:trHeight w:val="617"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Well-used ford. Actual crossing location 11U 648220 5499799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http://a100.gov.bc.ca/pub/pscismap/imageViewer.do?assessmentId=198859</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https://a100.gov.bc.ca/pub/pscismap/imageViewer.do?assessmentId=198866</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https://a100.gov.bc.ca/pub/pscismap/imageViewer.do?assessmentId=198867</w:t>
            </w:r>
          </w:p>
        </w:tc>
      </w:tr>
      <w:tr>
        <w:trPr>
          <w:trHeight w:val="617" w:hRule="auto"/>
        </w:trPr>
        body29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Lookout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https://a100.gov.bc.ca/pub/pscismap/imageViewer.do?assessmentId=198881</w:t>
            </w:r>
          </w:p>
        </w:tc>
      </w:tr>
      <w:tr>
        <w:trPr>
          <w:trHeight w:val="617" w:hRule="auto"/>
        </w:trPr>
        body30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http://a100.gov.bc.ca/pub/pscismap/imageViewer.do?assessmentId=198887</w:t>
            </w:r>
          </w:p>
        </w:tc>
      </w:tr>
      <w:tr>
        <w:trPr>
          <w:trHeight w:val="617" w:hRule="auto"/>
        </w:trPr>
        body31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da28f1e5-4fb1-43cd-ac85-123d6735677e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https://www.newgraphenvironment.com/fish_passage_elk_2021_reporting/results-and-discussion.html</w:t>
            </w:r>
          </w:p>
        </w:tc>
      </w:tr>
      <w:tr>
        <w:trPr>
          <w:trHeight w:val="617" w:hRule="auto"/>
        </w:trPr>
        body32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to not exist by BC Parks. 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 and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7"/>
    <w:bookmarkEnd w:id="138"/>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30" Target="media/rId30.png" /><Relationship Type="http://schemas.openxmlformats.org/officeDocument/2006/relationships/image" Id="rId104" Target="media/rId104.png" /><Relationship Type="http://schemas.openxmlformats.org/officeDocument/2006/relationships/image" Id="rId20" Target="media/rId20.png" /><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onservationstandards.org/wp-content/uploads/sites/3/2023/09/CMP-Open-Standards-for-the-Practice-of-Conservation-v4.0-English.pdf" TargetMode="External" /><Relationship Type="http://schemas.openxmlformats.org/officeDocument/2006/relationships/hyperlink" Id="rId27" Target="https://elkrivercollaborative.ca/" TargetMode="External" /><Relationship Type="http://schemas.openxmlformats.org/officeDocument/2006/relationships/hyperlink" Id="rId133" Target="https://github.com/smnorris/bcfishpass" TargetMode="External" /><Relationship Type="http://schemas.openxmlformats.org/officeDocument/2006/relationships/hyperlink" Id="rId98"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onservationstandards.org/wp-content/uploads/sites/3/2023/09/CMP-Open-Standards-for-the-Practice-of-Conservation-v4.0-English.pdf" TargetMode="External" /><Relationship Type="http://schemas.openxmlformats.org/officeDocument/2006/relationships/hyperlink" Id="rId27" Target="https://elkrivercollaborative.ca/" TargetMode="External" /><Relationship Type="http://schemas.openxmlformats.org/officeDocument/2006/relationships/hyperlink" Id="rId133" Target="https://github.com/smnorris/bcfishpass" TargetMode="External" /><Relationship Type="http://schemas.openxmlformats.org/officeDocument/2006/relationships/hyperlink" Id="rId98"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Restoration Plan: 2021 - 2041</dc:title>
  <dc:creator>Canadian Wildlife Federation</dc:creator>
  <cp:keywords/>
  <dcterms:created xsi:type="dcterms:W3CDTF">2024-12-10T16:07:42Z</dcterms:created>
  <dcterms:modified xsi:type="dcterms:W3CDTF">2024-12-10T16:07:42Z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10-12-2024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